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00FEE" w14:textId="77777777" w:rsidR="00AF1474" w:rsidRPr="00AF1474" w:rsidRDefault="00AF1474" w:rsidP="00AF1474">
      <w:pPr>
        <w:spacing w:after="0" w:line="240" w:lineRule="auto"/>
        <w:jc w:val="both"/>
      </w:pPr>
      <w:proofErr w:type="spellStart"/>
      <w:r w:rsidRPr="00AF1474">
        <w:t>Memperkenalkan</w:t>
      </w:r>
      <w:proofErr w:type="spellEnd"/>
      <w:r w:rsidRPr="00AF1474">
        <w:t xml:space="preserve"> </w:t>
      </w:r>
      <w:proofErr w:type="spellStart"/>
      <w:r w:rsidRPr="00AF1474">
        <w:t>sebuah</w:t>
      </w:r>
      <w:proofErr w:type="spellEnd"/>
      <w:r w:rsidRPr="00AF1474">
        <w:t xml:space="preserve"> suite </w:t>
      </w:r>
      <w:proofErr w:type="spellStart"/>
      <w:r w:rsidRPr="00AF1474">
        <w:t>laboratorium</w:t>
      </w:r>
      <w:proofErr w:type="spellEnd"/>
      <w:r w:rsidRPr="00AF1474">
        <w:t xml:space="preserve"> </w:t>
      </w:r>
      <w:proofErr w:type="spellStart"/>
      <w:r w:rsidRPr="00AF1474">
        <w:t>fisika</w:t>
      </w:r>
      <w:proofErr w:type="spellEnd"/>
      <w:r w:rsidRPr="00AF1474">
        <w:t xml:space="preserve"> yang </w:t>
      </w:r>
      <w:proofErr w:type="spellStart"/>
      <w:r w:rsidRPr="00AF1474">
        <w:t>komprehensif</w:t>
      </w:r>
      <w:proofErr w:type="spellEnd"/>
      <w:r w:rsidRPr="00AF1474">
        <w:t xml:space="preserve"> </w:t>
      </w:r>
      <w:proofErr w:type="spellStart"/>
      <w:r w:rsidRPr="00AF1474">
        <w:t>dirancang</w:t>
      </w:r>
      <w:proofErr w:type="spellEnd"/>
      <w:r w:rsidRPr="00AF1474">
        <w:t xml:space="preserve"> </w:t>
      </w:r>
      <w:proofErr w:type="spellStart"/>
      <w:r w:rsidRPr="00AF1474">
        <w:t>untuk</w:t>
      </w:r>
      <w:proofErr w:type="spellEnd"/>
      <w:r w:rsidRPr="00AF1474">
        <w:t xml:space="preserve"> </w:t>
      </w:r>
      <w:proofErr w:type="spellStart"/>
      <w:r w:rsidRPr="00AF1474">
        <w:t>memberikan</w:t>
      </w:r>
      <w:proofErr w:type="spellEnd"/>
      <w:r w:rsidRPr="00AF1474">
        <w:t xml:space="preserve"> </w:t>
      </w:r>
      <w:proofErr w:type="spellStart"/>
      <w:r w:rsidRPr="00AF1474">
        <w:t>eksplorasi</w:t>
      </w:r>
      <w:proofErr w:type="spellEnd"/>
      <w:r w:rsidRPr="00AF1474">
        <w:t xml:space="preserve"> </w:t>
      </w:r>
      <w:proofErr w:type="spellStart"/>
      <w:r w:rsidRPr="00AF1474">
        <w:t>lengkap</w:t>
      </w:r>
      <w:proofErr w:type="spellEnd"/>
      <w:r w:rsidRPr="00AF1474">
        <w:t xml:space="preserve"> </w:t>
      </w:r>
      <w:proofErr w:type="spellStart"/>
      <w:r w:rsidRPr="00AF1474">
        <w:t>tentang</w:t>
      </w:r>
      <w:proofErr w:type="spellEnd"/>
      <w:r w:rsidRPr="00AF1474">
        <w:t xml:space="preserve"> dua </w:t>
      </w:r>
      <w:proofErr w:type="spellStart"/>
      <w:r w:rsidRPr="00AF1474">
        <w:t>topik</w:t>
      </w:r>
      <w:proofErr w:type="spellEnd"/>
      <w:r w:rsidRPr="00AF1474">
        <w:t xml:space="preserve"> paling fundamental </w:t>
      </w:r>
      <w:proofErr w:type="spellStart"/>
      <w:r w:rsidRPr="00AF1474">
        <w:t>dalam</w:t>
      </w:r>
      <w:proofErr w:type="spellEnd"/>
      <w:r w:rsidRPr="00AF1474">
        <w:t xml:space="preserve"> </w:t>
      </w:r>
      <w:proofErr w:type="spellStart"/>
      <w:r w:rsidRPr="00AF1474">
        <w:t>mekanika</w:t>
      </w:r>
      <w:proofErr w:type="spellEnd"/>
      <w:r w:rsidRPr="00AF1474">
        <w:t xml:space="preserve"> </w:t>
      </w:r>
      <w:proofErr w:type="spellStart"/>
      <w:r w:rsidRPr="00AF1474">
        <w:t>yaitu</w:t>
      </w:r>
      <w:proofErr w:type="spellEnd"/>
      <w:r w:rsidRPr="00AF1474">
        <w:t xml:space="preserve"> </w:t>
      </w:r>
      <w:proofErr w:type="spellStart"/>
      <w:r w:rsidRPr="00AF1474">
        <w:t>Osilasi</w:t>
      </w:r>
      <w:proofErr w:type="spellEnd"/>
      <w:r w:rsidRPr="00AF1474">
        <w:t xml:space="preserve"> dan </w:t>
      </w:r>
      <w:proofErr w:type="spellStart"/>
      <w:r w:rsidRPr="00AF1474">
        <w:t>Gelombang</w:t>
      </w:r>
      <w:proofErr w:type="spellEnd"/>
      <w:r w:rsidRPr="00AF1474">
        <w:t xml:space="preserve"> Paket </w:t>
      </w:r>
      <w:proofErr w:type="spellStart"/>
      <w:r w:rsidRPr="00AF1474">
        <w:t>terpadu</w:t>
      </w:r>
      <w:proofErr w:type="spellEnd"/>
      <w:r w:rsidRPr="00AF1474">
        <w:t xml:space="preserve"> </w:t>
      </w:r>
      <w:proofErr w:type="spellStart"/>
      <w:r w:rsidRPr="00AF1474">
        <w:t>ini</w:t>
      </w:r>
      <w:proofErr w:type="spellEnd"/>
      <w:r w:rsidRPr="00AF1474">
        <w:t xml:space="preserve"> </w:t>
      </w:r>
      <w:proofErr w:type="spellStart"/>
      <w:r w:rsidRPr="00AF1474">
        <w:t>mencakup</w:t>
      </w:r>
      <w:proofErr w:type="spellEnd"/>
      <w:r w:rsidRPr="00AF1474">
        <w:t xml:space="preserve"> dua </w:t>
      </w:r>
      <w:proofErr w:type="spellStart"/>
      <w:r w:rsidRPr="00AF1474">
        <w:t>peralatan</w:t>
      </w:r>
      <w:proofErr w:type="spellEnd"/>
      <w:r w:rsidRPr="00AF1474">
        <w:t xml:space="preserve"> </w:t>
      </w:r>
      <w:proofErr w:type="spellStart"/>
      <w:r w:rsidRPr="00AF1474">
        <w:t>eksperimental</w:t>
      </w:r>
      <w:proofErr w:type="spellEnd"/>
      <w:r w:rsidRPr="00AF1474">
        <w:t xml:space="preserve"> modern dan </w:t>
      </w:r>
      <w:proofErr w:type="spellStart"/>
      <w:r w:rsidRPr="00AF1474">
        <w:t>presisi</w:t>
      </w:r>
      <w:proofErr w:type="spellEnd"/>
      <w:r w:rsidRPr="00AF1474">
        <w:t xml:space="preserve"> </w:t>
      </w:r>
      <w:proofErr w:type="spellStart"/>
      <w:r w:rsidRPr="00AF1474">
        <w:t>tinggi</w:t>
      </w:r>
      <w:proofErr w:type="spellEnd"/>
      <w:r w:rsidRPr="00AF1474">
        <w:t xml:space="preserve"> yang </w:t>
      </w:r>
      <w:proofErr w:type="spellStart"/>
      <w:r w:rsidRPr="00AF1474">
        <w:t>saling</w:t>
      </w:r>
      <w:proofErr w:type="spellEnd"/>
      <w:r w:rsidRPr="00AF1474">
        <w:t xml:space="preserve"> </w:t>
      </w:r>
      <w:proofErr w:type="spellStart"/>
      <w:r w:rsidRPr="00AF1474">
        <w:t>melengkapi</w:t>
      </w:r>
      <w:proofErr w:type="spellEnd"/>
      <w:r w:rsidRPr="00AF1474">
        <w:t xml:space="preserve"> yang </w:t>
      </w:r>
      <w:proofErr w:type="spellStart"/>
      <w:r w:rsidRPr="00AF1474">
        <w:t>pertama</w:t>
      </w:r>
      <w:proofErr w:type="spellEnd"/>
      <w:r w:rsidRPr="00AF1474">
        <w:t xml:space="preserve"> </w:t>
      </w:r>
      <w:proofErr w:type="spellStart"/>
      <w:r w:rsidRPr="00AF1474">
        <w:t>untuk</w:t>
      </w:r>
      <w:proofErr w:type="spellEnd"/>
      <w:r w:rsidRPr="00AF1474">
        <w:t xml:space="preserve"> </w:t>
      </w:r>
      <w:proofErr w:type="spellStart"/>
      <w:r w:rsidRPr="00AF1474">
        <w:t>penyelidikan</w:t>
      </w:r>
      <w:proofErr w:type="spellEnd"/>
      <w:r w:rsidRPr="00AF1474">
        <w:t xml:space="preserve"> </w:t>
      </w:r>
      <w:proofErr w:type="spellStart"/>
      <w:r w:rsidRPr="00AF1474">
        <w:t>mendalam</w:t>
      </w:r>
      <w:proofErr w:type="spellEnd"/>
      <w:r w:rsidRPr="00AF1474">
        <w:t xml:space="preserve"> </w:t>
      </w:r>
      <w:proofErr w:type="spellStart"/>
      <w:r w:rsidRPr="00AF1474">
        <w:t>tentang</w:t>
      </w:r>
      <w:proofErr w:type="spellEnd"/>
      <w:r w:rsidRPr="00AF1474">
        <w:t xml:space="preserve"> Gerak </w:t>
      </w:r>
      <w:proofErr w:type="spellStart"/>
      <w:r w:rsidRPr="00AF1474">
        <w:t>Harmonik</w:t>
      </w:r>
      <w:proofErr w:type="spellEnd"/>
      <w:r w:rsidRPr="00AF1474">
        <w:t xml:space="preserve"> </w:t>
      </w:r>
      <w:proofErr w:type="spellStart"/>
      <w:r w:rsidRPr="00AF1474">
        <w:t>Sederhana</w:t>
      </w:r>
      <w:proofErr w:type="spellEnd"/>
      <w:r w:rsidRPr="00AF1474">
        <w:t xml:space="preserve"> (GHS) dan yang </w:t>
      </w:r>
      <w:proofErr w:type="spellStart"/>
      <w:r w:rsidRPr="00AF1474">
        <w:t>kedua</w:t>
      </w:r>
      <w:proofErr w:type="spellEnd"/>
      <w:r w:rsidRPr="00AF1474">
        <w:t xml:space="preserve"> </w:t>
      </w:r>
      <w:proofErr w:type="spellStart"/>
      <w:r w:rsidRPr="00AF1474">
        <w:t>untuk</w:t>
      </w:r>
      <w:proofErr w:type="spellEnd"/>
      <w:r w:rsidRPr="00AF1474">
        <w:t xml:space="preserve"> </w:t>
      </w:r>
      <w:proofErr w:type="spellStart"/>
      <w:r w:rsidRPr="00AF1474">
        <w:t>studi</w:t>
      </w:r>
      <w:proofErr w:type="spellEnd"/>
      <w:r w:rsidRPr="00AF1474">
        <w:t xml:space="preserve"> </w:t>
      </w:r>
      <w:proofErr w:type="spellStart"/>
      <w:r w:rsidRPr="00AF1474">
        <w:t>kuantitatif</w:t>
      </w:r>
      <w:proofErr w:type="spellEnd"/>
      <w:r w:rsidRPr="00AF1474">
        <w:t xml:space="preserve"> </w:t>
      </w:r>
      <w:proofErr w:type="spellStart"/>
      <w:r w:rsidRPr="00AF1474">
        <w:t>tentang</w:t>
      </w:r>
      <w:proofErr w:type="spellEnd"/>
      <w:r w:rsidRPr="00AF1474">
        <w:t xml:space="preserve"> </w:t>
      </w:r>
      <w:proofErr w:type="spellStart"/>
      <w:r w:rsidRPr="00AF1474">
        <w:t>Gelombang</w:t>
      </w:r>
      <w:proofErr w:type="spellEnd"/>
      <w:r w:rsidRPr="00AF1474">
        <w:t xml:space="preserve"> </w:t>
      </w:r>
      <w:proofErr w:type="spellStart"/>
      <w:r w:rsidRPr="00AF1474">
        <w:t>Berdiri</w:t>
      </w:r>
      <w:proofErr w:type="spellEnd"/>
      <w:r w:rsidRPr="00AF1474">
        <w:t xml:space="preserve"> yang </w:t>
      </w:r>
      <w:proofErr w:type="spellStart"/>
      <w:r w:rsidRPr="00AF1474">
        <w:t>dihasilkan</w:t>
      </w:r>
      <w:proofErr w:type="spellEnd"/>
      <w:r w:rsidRPr="00AF1474">
        <w:t xml:space="preserve"> </w:t>
      </w:r>
      <w:proofErr w:type="spellStart"/>
      <w:r w:rsidRPr="00AF1474">
        <w:t>dari</w:t>
      </w:r>
      <w:proofErr w:type="spellEnd"/>
      <w:r w:rsidRPr="00AF1474">
        <w:t xml:space="preserve"> </w:t>
      </w:r>
      <w:proofErr w:type="spellStart"/>
      <w:r w:rsidRPr="00AF1474">
        <w:t>osilasi</w:t>
      </w:r>
      <w:proofErr w:type="spellEnd"/>
      <w:r w:rsidRPr="00AF1474">
        <w:t xml:space="preserve"> </w:t>
      </w:r>
      <w:proofErr w:type="spellStart"/>
      <w:r w:rsidRPr="00AF1474">
        <w:t>tersebut</w:t>
      </w:r>
      <w:proofErr w:type="spellEnd"/>
    </w:p>
    <w:p w14:paraId="78EFE1F1" w14:textId="77777777" w:rsidR="00AF1474" w:rsidRPr="00AF1474" w:rsidRDefault="00AF1474" w:rsidP="00AF1474">
      <w:pPr>
        <w:spacing w:after="0" w:line="240" w:lineRule="auto"/>
        <w:jc w:val="both"/>
        <w:rPr>
          <w:lang w:val="sv-SE"/>
        </w:rPr>
      </w:pPr>
      <w:r w:rsidRPr="00AF1474">
        <w:rPr>
          <w:lang w:val="sv-SE"/>
        </w:rPr>
        <w:t>Peralatan pertama dalam suite ini adalah evolusi modern dari neraca Joly klasik untuk mempelajari osilasi massa-pegas Secara inovatif alat ini menggantikan stopwatch dengan sensor Hall terintegrasi yang secara otomatis dan akurat mengukur periode osilasi Mahasiswa dapat secara komprehensif mempelajari Hukum Hooke dengan menentukan konstanta pegas melalui dua metode berbeda yaitu metode peregangan statis dan metode osilasi dinamis memberikan pelajaran berharga dalam perbandingan teknik eksperimental</w:t>
      </w:r>
    </w:p>
    <w:p w14:paraId="25BBDB81" w14:textId="77777777" w:rsidR="00AF1474" w:rsidRPr="00AF1474" w:rsidRDefault="00AF1474" w:rsidP="00AF1474">
      <w:pPr>
        <w:spacing w:after="0" w:line="240" w:lineRule="auto"/>
        <w:jc w:val="both"/>
        <w:rPr>
          <w:lang w:val="sv-SE"/>
        </w:rPr>
      </w:pPr>
      <w:r w:rsidRPr="00AF1474">
        <w:rPr>
          <w:lang w:val="sv-SE"/>
        </w:rPr>
        <w:t>Peralatan kedua membangun konsep osilasi untuk menyelidiki fenomena gelombang kolektif pada tali yang diregangkan Dengan menggunakan driver elektromagnetik yang dikontrol oleh generator sinyal digital beresolusi tinggi mahasiswa dapat secara presisi membangkitkan dan mempertahankan gelombang berdiri pada berbagai frekuensi harmonik Mereka dapat secara visual mengamati dan mengukur posisi simpul dan perut untuk menentukan panjang gelombang dan menghitung kecepatan rambat gelombang</w:t>
      </w:r>
    </w:p>
    <w:p w14:paraId="32E0AE91" w14:textId="77777777" w:rsidR="00AF1474" w:rsidRPr="00AF1474" w:rsidRDefault="00AF1474" w:rsidP="00AF1474">
      <w:pPr>
        <w:spacing w:after="0" w:line="240" w:lineRule="auto"/>
        <w:jc w:val="both"/>
        <w:rPr>
          <w:lang w:val="sv-SE"/>
        </w:rPr>
      </w:pPr>
      <w:r w:rsidRPr="00AF1474">
        <w:rPr>
          <w:lang w:val="sv-SE"/>
        </w:rPr>
        <w:t>Secara pedagogis kedua instrumen ini menciptakan sebuah alur pembelajaran yang sempurna Mahasiswa pertama-tama memahami gerak periodik dari satu partikel (osilasi massa-pegas) menggunakan Neraca Joly tipe baru Kemudian mereka menerapkan pemahaman ini untuk melihat bagaimana osilasi yang digabungkan dari banyak partikel menghasilkan fenomena gelombang yang kompleks termasuk superposisi dan resonansi pada peralatan gelombang berdiri Ini adalah perjalanan konseptual yang mulus dari GHS ke mekanika gelombang</w:t>
      </w:r>
    </w:p>
    <w:p w14:paraId="7095CE2F" w14:textId="77777777" w:rsidR="00AF1474" w:rsidRPr="00AF1474" w:rsidRDefault="00AF1474" w:rsidP="00AF1474">
      <w:pPr>
        <w:spacing w:after="0" w:line="240" w:lineRule="auto"/>
        <w:jc w:val="both"/>
        <w:rPr>
          <w:lang w:val="sv-SE"/>
        </w:rPr>
      </w:pPr>
      <w:r w:rsidRPr="00AF1474">
        <w:rPr>
          <w:lang w:val="sv-SE"/>
        </w:rPr>
        <w:t>Sebuah filosofi desain modern menyatukan kedua peralatan ini Keduanya secara tegas meninggalkan metode pengukuran manual yang rentan terhadap kesalahan demi teknologi presisi tinggi seperti sensor Hall dan driver elektromagnetik yang dikontrol secara digital Hal ini tidak hanya memastikan data yang lebih akurat dan dapat diulang tetapi juga membiasakan mahasiswa dengan jenis instrumentasi canggih yang akan mereka temui di lingkungan penelitian dan industri modern</w:t>
      </w:r>
    </w:p>
    <w:p w14:paraId="3E13D54A" w14:textId="77777777" w:rsidR="00AF1474" w:rsidRPr="00AF1474" w:rsidRDefault="00AF1474" w:rsidP="00AF1474">
      <w:pPr>
        <w:pBdr>
          <w:bottom w:val="double" w:sz="6" w:space="1" w:color="auto"/>
        </w:pBdr>
        <w:spacing w:after="0" w:line="240" w:lineRule="auto"/>
        <w:jc w:val="both"/>
        <w:rPr>
          <w:lang w:val="sv-SE"/>
        </w:rPr>
      </w:pPr>
      <w:r w:rsidRPr="00AF1474">
        <w:rPr>
          <w:lang w:val="sv-SE"/>
        </w:rPr>
        <w:t>Secara keseluruhan suite laboratorium ini adalah paket pendidikan yang tak tertandingi untuk setiap program fisika atau teknik di tingkat universitas Dengan menyediakan dua sistem komplementer yang mencakup kurikulum pengantar lengkap untuk osilasi dan gelombang ini adalah investasi strategis untuk memberikan pengalaman belajar langsung yang mendalam dan andal dalam beberapa konsep fisika yang paling penting</w:t>
      </w:r>
    </w:p>
    <w:p w14:paraId="5D5CB677" w14:textId="77777777" w:rsidR="00AF1474" w:rsidRPr="00AF1474" w:rsidRDefault="00AF1474" w:rsidP="00AF1474">
      <w:pPr>
        <w:spacing w:after="0" w:line="240" w:lineRule="auto"/>
        <w:jc w:val="both"/>
      </w:pPr>
      <w:r w:rsidRPr="00AF1474">
        <w:t>Introducing a comprehensive physics laboratory suite designed to provide a complete exploration of two of the most fundamental topics in mechanics Oscillations and Waves This integrated package includes two distinct complementary high-precision experimental apparatuses the first for the in-depth investigation of Simple Harmonic Motion (SHM) and the second for the quantitative study of the Standing Waves that result from such oscillations</w:t>
      </w:r>
    </w:p>
    <w:p w14:paraId="48D0CC8B" w14:textId="77777777" w:rsidR="00AF1474" w:rsidRPr="00AF1474" w:rsidRDefault="00AF1474" w:rsidP="00AF1474">
      <w:pPr>
        <w:spacing w:after="0" w:line="240" w:lineRule="auto"/>
        <w:jc w:val="both"/>
      </w:pPr>
      <w:r w:rsidRPr="00AF1474">
        <w:t>The first apparatus in this suite is a modern evolution of the classic Joly balance for studying a mass-spring system Innovatively it replaces the stopwatch with an integrated Hall sensor that automatically and accurately measures the period of oscillation Students can comprehensively study Hooke's Law by determining the spring constant through two different methods the static elongation method and the dynamic oscillation method providing a valuable lesson in comparing experimental techniques</w:t>
      </w:r>
    </w:p>
    <w:p w14:paraId="0D43DE1F" w14:textId="77777777" w:rsidR="00AF1474" w:rsidRPr="00AF1474" w:rsidRDefault="00AF1474" w:rsidP="00AF1474">
      <w:pPr>
        <w:spacing w:after="0" w:line="240" w:lineRule="auto"/>
        <w:jc w:val="both"/>
      </w:pPr>
      <w:r w:rsidRPr="00AF1474">
        <w:t>The second apparatus builds upon the concept of oscillation to investigate collective wave phenomena on a stretched string Using an electromagnetic driver controlled by a high-resolution digital signal generator students can precisely excite and sustain standing waves at various harmonic frequencies They can visually observe and measure the positions of nodes and antinodes to determine the wavelength and calculate the wave's propagation speed</w:t>
      </w:r>
    </w:p>
    <w:p w14:paraId="7FACF4C5" w14:textId="77777777" w:rsidR="00AF1474" w:rsidRPr="00AF1474" w:rsidRDefault="00AF1474" w:rsidP="00AF1474">
      <w:pPr>
        <w:spacing w:after="0" w:line="240" w:lineRule="auto"/>
        <w:jc w:val="both"/>
      </w:pPr>
      <w:r w:rsidRPr="00AF1474">
        <w:t xml:space="preserve">Pedagogically these two instruments create a perfect learning progression Students first understand the periodic motion of a single particle (the mass-spring oscillation) using the new-type Joly Balance They then apply this understanding to see how the coupled oscillation of many particles leads to </w:t>
      </w:r>
      <w:r w:rsidRPr="00AF1474">
        <w:lastRenderedPageBreak/>
        <w:t>complex wave phenomena including superposition and resonance on the standing wave apparatus It is a seamless conceptual journey from SHM to wave mechanics</w:t>
      </w:r>
    </w:p>
    <w:p w14:paraId="29371B89" w14:textId="77777777" w:rsidR="00AF1474" w:rsidRPr="00AF1474" w:rsidRDefault="00AF1474" w:rsidP="00AF1474">
      <w:pPr>
        <w:spacing w:after="0" w:line="240" w:lineRule="auto"/>
        <w:jc w:val="both"/>
      </w:pPr>
      <w:r w:rsidRPr="00AF1474">
        <w:t xml:space="preserve">A philosophy of modern measurement unites both pieces of equipment Both decisively abandon error-prone manual measurement methods in </w:t>
      </w:r>
      <w:proofErr w:type="spellStart"/>
      <w:r w:rsidRPr="00AF1474">
        <w:t>favor</w:t>
      </w:r>
      <w:proofErr w:type="spellEnd"/>
      <w:r w:rsidRPr="00AF1474">
        <w:t xml:space="preserve"> of high-precision technologies like Hall sensors and digitally-controlled electromagnetic drivers This not only ensures more accurate and repeatable data but also familiarizes students with the type of advanced instrumentation they will encounter in modern research and industrial settings</w:t>
      </w:r>
    </w:p>
    <w:p w14:paraId="422814E3" w14:textId="77777777" w:rsidR="00AF1474" w:rsidRPr="00AF1474" w:rsidRDefault="00AF1474" w:rsidP="00AF1474">
      <w:pPr>
        <w:spacing w:after="0" w:line="240" w:lineRule="auto"/>
        <w:jc w:val="both"/>
      </w:pPr>
      <w:proofErr w:type="gramStart"/>
      <w:r w:rsidRPr="00AF1474">
        <w:t>Overall</w:t>
      </w:r>
      <w:proofErr w:type="gramEnd"/>
      <w:r w:rsidRPr="00AF1474">
        <w:t xml:space="preserve"> this laboratory suite is an unparalleled educational package for any university physics or engineering program </w:t>
      </w:r>
      <w:proofErr w:type="gramStart"/>
      <w:r w:rsidRPr="00AF1474">
        <w:t>By</w:t>
      </w:r>
      <w:proofErr w:type="gramEnd"/>
      <w:r w:rsidRPr="00AF1474">
        <w:t xml:space="preserve"> providing two complementary systems that cover the complete introductory curriculum for oscillations and waves it is a strategic investment for delivering a deep reliable and hands-on learning experience in some of the most important concepts in physics</w:t>
      </w:r>
    </w:p>
    <w:p w14:paraId="6412C416" w14:textId="77777777" w:rsidR="00AF1474" w:rsidRPr="00AF1474" w:rsidRDefault="00AF1474" w:rsidP="00AF1474">
      <w:pPr>
        <w:spacing w:after="0" w:line="240" w:lineRule="auto"/>
        <w:jc w:val="both"/>
      </w:pPr>
    </w:p>
    <w:sectPr w:rsidR="00AF1474" w:rsidRPr="00AF14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74"/>
    <w:rsid w:val="000D6E49"/>
    <w:rsid w:val="001338A9"/>
    <w:rsid w:val="002E2B5A"/>
    <w:rsid w:val="002F7BBA"/>
    <w:rsid w:val="00307549"/>
    <w:rsid w:val="003B5ABF"/>
    <w:rsid w:val="009034B1"/>
    <w:rsid w:val="00A56B67"/>
    <w:rsid w:val="00AF1474"/>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FF64"/>
  <w15:chartTrackingRefBased/>
  <w15:docId w15:val="{EB21E36F-90EF-49C0-A84E-E898401C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4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14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14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14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14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14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4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4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4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AF14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4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4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14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14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14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4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4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474"/>
    <w:rPr>
      <w:rFonts w:eastAsiaTheme="majorEastAsia" w:cstheme="majorBidi"/>
      <w:color w:val="272727" w:themeColor="text1" w:themeTint="D8"/>
    </w:rPr>
  </w:style>
  <w:style w:type="paragraph" w:styleId="Title">
    <w:name w:val="Title"/>
    <w:basedOn w:val="Normal"/>
    <w:next w:val="Normal"/>
    <w:link w:val="TitleChar"/>
    <w:uiPriority w:val="10"/>
    <w:qFormat/>
    <w:rsid w:val="00AF14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4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4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4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474"/>
    <w:pPr>
      <w:spacing w:before="160"/>
      <w:jc w:val="center"/>
    </w:pPr>
    <w:rPr>
      <w:i/>
      <w:iCs/>
      <w:color w:val="404040" w:themeColor="text1" w:themeTint="BF"/>
    </w:rPr>
  </w:style>
  <w:style w:type="character" w:customStyle="1" w:styleId="QuoteChar">
    <w:name w:val="Quote Char"/>
    <w:basedOn w:val="DefaultParagraphFont"/>
    <w:link w:val="Quote"/>
    <w:uiPriority w:val="29"/>
    <w:rsid w:val="00AF1474"/>
    <w:rPr>
      <w:i/>
      <w:iCs/>
      <w:color w:val="404040" w:themeColor="text1" w:themeTint="BF"/>
    </w:rPr>
  </w:style>
  <w:style w:type="paragraph" w:styleId="ListParagraph">
    <w:name w:val="List Paragraph"/>
    <w:basedOn w:val="Normal"/>
    <w:uiPriority w:val="34"/>
    <w:qFormat/>
    <w:rsid w:val="00AF1474"/>
    <w:pPr>
      <w:ind w:left="720"/>
      <w:contextualSpacing/>
    </w:pPr>
  </w:style>
  <w:style w:type="character" w:styleId="IntenseEmphasis">
    <w:name w:val="Intense Emphasis"/>
    <w:basedOn w:val="DefaultParagraphFont"/>
    <w:uiPriority w:val="21"/>
    <w:qFormat/>
    <w:rsid w:val="00AF1474"/>
    <w:rPr>
      <w:i/>
      <w:iCs/>
      <w:color w:val="2F5496" w:themeColor="accent1" w:themeShade="BF"/>
    </w:rPr>
  </w:style>
  <w:style w:type="paragraph" w:styleId="IntenseQuote">
    <w:name w:val="Intense Quote"/>
    <w:basedOn w:val="Normal"/>
    <w:next w:val="Normal"/>
    <w:link w:val="IntenseQuoteChar"/>
    <w:uiPriority w:val="30"/>
    <w:qFormat/>
    <w:rsid w:val="00AF14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1474"/>
    <w:rPr>
      <w:i/>
      <w:iCs/>
      <w:color w:val="2F5496" w:themeColor="accent1" w:themeShade="BF"/>
    </w:rPr>
  </w:style>
  <w:style w:type="character" w:styleId="IntenseReference">
    <w:name w:val="Intense Reference"/>
    <w:basedOn w:val="DefaultParagraphFont"/>
    <w:uiPriority w:val="32"/>
    <w:qFormat/>
    <w:rsid w:val="00AF14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2025-10-01T06:36:00Z</dcterms:created>
  <dcterms:modified xsi:type="dcterms:W3CDTF">2025-10-01T06:37:00Z</dcterms:modified>
</cp:coreProperties>
</file>